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Lidköping kommunfullmäktige</w:t>
      </w:r>
    </w:p>
    <w:p>
      <w:pPr>
        <w:pStyle w:val="Heading1"/>
      </w:pPr>
      <w:r>
        <w:t xml:space="preserve">Energieffektivisering av kommunala fastigheter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Lidköping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fastigheter står för en stor del av energiförbrukningen. Enligt energideklarationer 2024 kan besparingar på 15–20 procent uppnås. Detta bidrar till klimatmål och lägre driftskostnader.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Lidköping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tekniska nämnden får i uppdrag att genomföra energieffektivisering i minst 10 kommunala fastigheter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solcellsanläggningar installeras på lämpliga tak.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besparingarna redovisas årligen i budgetuppföljningen.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investeringar finansieras via gröna lån och statliga stöd.</w:t>
      </w:r>
    </w:p>
    <w:p>
      <w:pPr>
        <w:spacing w:before="360"/>
      </w:pPr>
    </w:p>
    <w:p>
      <w:r>
        <w:t xml:space="preserve">Lidköping,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Lidköping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2026-07-14T00:39:12.411Z</dcterms:created>
  <dcterms:modified xsi:type="dcterms:W3CDTF">2026-07-14T00:39:12.411Z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